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20</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22</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23</w:t>
      </w:r>
      <w:r>
        <w:fldChar w:fldCharType="end"/>
      </w:r>
    </w:p>
    <w:p>
      <w:pPr>
        <w:pStyle w:val="7"/>
        <w:tabs>
          <w:tab w:val="right" w:leader="dot" w:pos="14562"/>
        </w:tabs>
        <w:sectPr>
          <w:footerReference r:id="rId3" w:type="default"/>
          <w:footerReference r:id="rId4" w:type="even"/>
          <w:pgSz w:w="16840" w:h="11900" w:orient="landscape"/>
          <w:pgMar w:top="1361" w:right="1021" w:bottom="1134" w:left="1021" w:header="720" w:footer="720" w:gutter="0"/>
          <w:pgNumType w:start="1"/>
          <w:cols w:space="720" w:num="1"/>
        </w:sectPr>
      </w:pPr>
      <w:r>
        <w:fldChar w:fldCharType="begin"/>
      </w:r>
      <w:r>
        <w:instrText xml:space="preserve"> HYPERLINK \l "_Toc_3_3_0000000018" </w:instrText>
      </w:r>
      <w:r>
        <w:fldChar w:fldCharType="separate"/>
      </w:r>
      <w:r>
        <w:t>九、其他需要说明的事项</w:t>
      </w:r>
      <w:r>
        <w:tab/>
      </w:r>
      <w:bookmarkStart w:id="0" w:name="_GoBack"/>
      <w:bookmarkEnd w:id="0"/>
      <w:r>
        <w:t>2</w:t>
      </w:r>
      <w:r>
        <w:rPr>
          <w:rFonts w:hint="eastAsia"/>
          <w:lang w:val="en-US" w:eastAsia="zh-CN"/>
        </w:rPr>
        <w:t>4</w:t>
      </w:r>
      <w:r>
        <w:fldChar w:fldCharType="end"/>
      </w:r>
      <w:r>
        <w:fldChar w:fldCharType="end"/>
      </w:r>
    </w:p>
    <w:p>
      <w:pPr>
        <w:jc w:val="center"/>
        <w:outlineLvl w:val="3"/>
      </w:pPr>
      <w:r>
        <w:rPr>
          <w:rFonts w:ascii="方正小标宋_GBK" w:hAnsi="方正小标宋_GBK" w:eastAsia="方正小标宋_GBK" w:cs="方正小标宋_GBK"/>
          <w:color w:val="000000"/>
          <w:sz w:val="44"/>
        </w:rPr>
        <w:t>六十四、霸州市王庄子镇王圪垯村完全小学收支预算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678.38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678.38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678.38</w:t>
            </w:r>
          </w:p>
        </w:tc>
        <w:tc>
          <w:tcPr>
            <w:tcW w:w="4535" w:type="dxa"/>
            <w:vAlign w:val="center"/>
          </w:tcPr>
          <w:p>
            <w:pPr>
              <w:pStyle w:val="24"/>
            </w:pPr>
            <w:r>
              <w:t>本年支出合计</w:t>
            </w:r>
          </w:p>
        </w:tc>
        <w:tc>
          <w:tcPr>
            <w:tcW w:w="2126" w:type="dxa"/>
            <w:vAlign w:val="center"/>
          </w:tcPr>
          <w:p>
            <w:pPr>
              <w:pStyle w:val="25"/>
            </w:pPr>
            <w:r>
              <w:t>678.38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678.38</w:t>
            </w:r>
          </w:p>
        </w:tc>
        <w:tc>
          <w:tcPr>
            <w:tcW w:w="4535" w:type="dxa"/>
            <w:vAlign w:val="center"/>
          </w:tcPr>
          <w:p>
            <w:pPr>
              <w:pStyle w:val="24"/>
            </w:pPr>
            <w:r>
              <w:t>支出总计</w:t>
            </w:r>
          </w:p>
        </w:tc>
        <w:tc>
          <w:tcPr>
            <w:tcW w:w="2126" w:type="dxa"/>
            <w:vAlign w:val="center"/>
          </w:tcPr>
          <w:p>
            <w:pPr>
              <w:pStyle w:val="25"/>
            </w:pPr>
            <w:r>
              <w:t>678.38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678.38</w:t>
            </w:r>
          </w:p>
        </w:tc>
        <w:tc>
          <w:tcPr>
            <w:tcW w:w="1134" w:type="dxa"/>
            <w:vAlign w:val="center"/>
          </w:tcPr>
          <w:p>
            <w:pPr>
              <w:pStyle w:val="25"/>
            </w:pPr>
            <w:r>
              <w:t>678.38</w:t>
            </w:r>
          </w:p>
        </w:tc>
        <w:tc>
          <w:tcPr>
            <w:tcW w:w="1134" w:type="dxa"/>
            <w:vAlign w:val="center"/>
          </w:tcPr>
          <w:p>
            <w:pPr>
              <w:pStyle w:val="25"/>
            </w:pPr>
            <w:r>
              <w:t>678.38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678.38</w:t>
            </w:r>
          </w:p>
        </w:tc>
        <w:tc>
          <w:tcPr>
            <w:tcW w:w="1134" w:type="dxa"/>
            <w:vAlign w:val="center"/>
          </w:tcPr>
          <w:p>
            <w:pPr>
              <w:pStyle w:val="21"/>
            </w:pPr>
            <w:r>
              <w:t>678.38</w:t>
            </w:r>
          </w:p>
        </w:tc>
        <w:tc>
          <w:tcPr>
            <w:tcW w:w="1134" w:type="dxa"/>
            <w:vAlign w:val="center"/>
          </w:tcPr>
          <w:p>
            <w:pPr>
              <w:pStyle w:val="21"/>
            </w:pPr>
            <w:r>
              <w:t>678.38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678.38</w:t>
            </w:r>
          </w:p>
        </w:tc>
        <w:tc>
          <w:tcPr>
            <w:tcW w:w="1134" w:type="dxa"/>
            <w:vAlign w:val="center"/>
          </w:tcPr>
          <w:p>
            <w:pPr>
              <w:pStyle w:val="21"/>
            </w:pPr>
            <w:r>
              <w:t>678.38</w:t>
            </w:r>
          </w:p>
        </w:tc>
        <w:tc>
          <w:tcPr>
            <w:tcW w:w="1134" w:type="dxa"/>
            <w:vAlign w:val="center"/>
          </w:tcPr>
          <w:p>
            <w:pPr>
              <w:pStyle w:val="21"/>
            </w:pPr>
            <w:r>
              <w:t>678.38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10.24</w:t>
            </w:r>
          </w:p>
        </w:tc>
        <w:tc>
          <w:tcPr>
            <w:tcW w:w="1134" w:type="dxa"/>
            <w:vAlign w:val="center"/>
          </w:tcPr>
          <w:p>
            <w:pPr>
              <w:pStyle w:val="21"/>
            </w:pPr>
            <w:r>
              <w:t>10.24</w:t>
            </w:r>
          </w:p>
        </w:tc>
        <w:tc>
          <w:tcPr>
            <w:tcW w:w="1134" w:type="dxa"/>
            <w:vAlign w:val="center"/>
          </w:tcPr>
          <w:p>
            <w:pPr>
              <w:pStyle w:val="21"/>
            </w:pPr>
            <w:r>
              <w:t>10.24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668.14</w:t>
            </w:r>
          </w:p>
        </w:tc>
        <w:tc>
          <w:tcPr>
            <w:tcW w:w="1134" w:type="dxa"/>
            <w:vAlign w:val="center"/>
          </w:tcPr>
          <w:p>
            <w:pPr>
              <w:pStyle w:val="21"/>
            </w:pPr>
            <w:r>
              <w:t>668.14</w:t>
            </w:r>
          </w:p>
        </w:tc>
        <w:tc>
          <w:tcPr>
            <w:tcW w:w="1134" w:type="dxa"/>
            <w:vAlign w:val="center"/>
          </w:tcPr>
          <w:p>
            <w:pPr>
              <w:pStyle w:val="21"/>
            </w:pPr>
            <w:r>
              <w:t>668.14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678.38</w:t>
            </w:r>
          </w:p>
        </w:tc>
        <w:tc>
          <w:tcPr>
            <w:tcW w:w="1361" w:type="dxa"/>
            <w:vAlign w:val="center"/>
          </w:tcPr>
          <w:p>
            <w:pPr>
              <w:pStyle w:val="25"/>
            </w:pPr>
            <w:r>
              <w:t>589.09</w:t>
            </w:r>
          </w:p>
        </w:tc>
        <w:tc>
          <w:tcPr>
            <w:tcW w:w="1361" w:type="dxa"/>
            <w:vAlign w:val="center"/>
          </w:tcPr>
          <w:p>
            <w:pPr>
              <w:pStyle w:val="25"/>
            </w:pPr>
            <w:r>
              <w:t>89.29</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678.38</w:t>
            </w:r>
          </w:p>
        </w:tc>
        <w:tc>
          <w:tcPr>
            <w:tcW w:w="1361" w:type="dxa"/>
            <w:vAlign w:val="center"/>
          </w:tcPr>
          <w:p>
            <w:pPr>
              <w:pStyle w:val="21"/>
            </w:pPr>
            <w:r>
              <w:t>589.09</w:t>
            </w:r>
          </w:p>
        </w:tc>
        <w:tc>
          <w:tcPr>
            <w:tcW w:w="1361" w:type="dxa"/>
            <w:vAlign w:val="center"/>
          </w:tcPr>
          <w:p>
            <w:pPr>
              <w:pStyle w:val="21"/>
            </w:pPr>
            <w:r>
              <w:t>89.29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678.38</w:t>
            </w:r>
          </w:p>
        </w:tc>
        <w:tc>
          <w:tcPr>
            <w:tcW w:w="1361" w:type="dxa"/>
            <w:vAlign w:val="center"/>
          </w:tcPr>
          <w:p>
            <w:pPr>
              <w:pStyle w:val="21"/>
            </w:pPr>
            <w:r>
              <w:t>589.09</w:t>
            </w:r>
          </w:p>
        </w:tc>
        <w:tc>
          <w:tcPr>
            <w:tcW w:w="1361" w:type="dxa"/>
            <w:vAlign w:val="center"/>
          </w:tcPr>
          <w:p>
            <w:pPr>
              <w:pStyle w:val="21"/>
            </w:pPr>
            <w:r>
              <w:t>89.29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10.24</w:t>
            </w:r>
          </w:p>
        </w:tc>
        <w:tc>
          <w:tcPr>
            <w:tcW w:w="1361" w:type="dxa"/>
            <w:vAlign w:val="center"/>
          </w:tcPr>
          <w:p>
            <w:pPr>
              <w:pStyle w:val="21"/>
            </w:pPr>
            <w:r>
              <w:t>0.44</w:t>
            </w:r>
          </w:p>
        </w:tc>
        <w:tc>
          <w:tcPr>
            <w:tcW w:w="1361" w:type="dxa"/>
            <w:vAlign w:val="center"/>
          </w:tcPr>
          <w:p>
            <w:pPr>
              <w:pStyle w:val="21"/>
            </w:pPr>
            <w:r>
              <w:t>9.80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668.14</w:t>
            </w:r>
          </w:p>
        </w:tc>
        <w:tc>
          <w:tcPr>
            <w:tcW w:w="1361" w:type="dxa"/>
            <w:vAlign w:val="center"/>
          </w:tcPr>
          <w:p>
            <w:pPr>
              <w:pStyle w:val="21"/>
            </w:pPr>
            <w:r>
              <w:t>588.65</w:t>
            </w:r>
          </w:p>
        </w:tc>
        <w:tc>
          <w:tcPr>
            <w:tcW w:w="1361" w:type="dxa"/>
            <w:vAlign w:val="center"/>
          </w:tcPr>
          <w:p>
            <w:pPr>
              <w:pStyle w:val="21"/>
            </w:pPr>
            <w:r>
              <w:t>79.49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678.38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678.38</w:t>
            </w:r>
          </w:p>
        </w:tc>
        <w:tc>
          <w:tcPr>
            <w:tcW w:w="1474" w:type="dxa"/>
            <w:vAlign w:val="center"/>
          </w:tcPr>
          <w:p>
            <w:pPr>
              <w:pStyle w:val="21"/>
            </w:pPr>
            <w:r>
              <w:t>678.38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678.38</w:t>
            </w:r>
          </w:p>
        </w:tc>
        <w:tc>
          <w:tcPr>
            <w:tcW w:w="3402" w:type="dxa"/>
            <w:vAlign w:val="center"/>
          </w:tcPr>
          <w:p>
            <w:pPr>
              <w:pStyle w:val="24"/>
            </w:pPr>
            <w:r>
              <w:t>本年支出合计</w:t>
            </w:r>
          </w:p>
        </w:tc>
        <w:tc>
          <w:tcPr>
            <w:tcW w:w="1474" w:type="dxa"/>
            <w:vAlign w:val="center"/>
          </w:tcPr>
          <w:p>
            <w:pPr>
              <w:pStyle w:val="25"/>
            </w:pPr>
            <w:r>
              <w:t>678.38</w:t>
            </w:r>
          </w:p>
        </w:tc>
        <w:tc>
          <w:tcPr>
            <w:tcW w:w="1474" w:type="dxa"/>
            <w:vAlign w:val="center"/>
          </w:tcPr>
          <w:p>
            <w:pPr>
              <w:pStyle w:val="25"/>
            </w:pPr>
            <w:r>
              <w:t>678.38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678.38</w:t>
            </w:r>
          </w:p>
        </w:tc>
        <w:tc>
          <w:tcPr>
            <w:tcW w:w="3402" w:type="dxa"/>
            <w:vAlign w:val="center"/>
          </w:tcPr>
          <w:p>
            <w:pPr>
              <w:pStyle w:val="24"/>
            </w:pPr>
            <w:r>
              <w:t>支出总计</w:t>
            </w:r>
          </w:p>
        </w:tc>
        <w:tc>
          <w:tcPr>
            <w:tcW w:w="1474" w:type="dxa"/>
            <w:vAlign w:val="center"/>
          </w:tcPr>
          <w:p>
            <w:pPr>
              <w:pStyle w:val="25"/>
            </w:pPr>
            <w:r>
              <w:t>678.38</w:t>
            </w:r>
          </w:p>
        </w:tc>
        <w:tc>
          <w:tcPr>
            <w:tcW w:w="1474" w:type="dxa"/>
            <w:vAlign w:val="center"/>
          </w:tcPr>
          <w:p>
            <w:pPr>
              <w:pStyle w:val="25"/>
            </w:pPr>
            <w:r>
              <w:t>678.38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678.38</w:t>
            </w:r>
          </w:p>
        </w:tc>
        <w:tc>
          <w:tcPr>
            <w:tcW w:w="2551" w:type="dxa"/>
            <w:vAlign w:val="center"/>
          </w:tcPr>
          <w:p>
            <w:pPr>
              <w:pStyle w:val="25"/>
            </w:pPr>
            <w:r>
              <w:t>589.09</w:t>
            </w:r>
          </w:p>
        </w:tc>
        <w:tc>
          <w:tcPr>
            <w:tcW w:w="2551" w:type="dxa"/>
            <w:vAlign w:val="center"/>
          </w:tcPr>
          <w:p>
            <w:pPr>
              <w:pStyle w:val="25"/>
            </w:pPr>
            <w:r>
              <w:t>89.29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678.38</w:t>
            </w:r>
          </w:p>
        </w:tc>
        <w:tc>
          <w:tcPr>
            <w:tcW w:w="2551" w:type="dxa"/>
            <w:vAlign w:val="center"/>
          </w:tcPr>
          <w:p>
            <w:pPr>
              <w:pStyle w:val="21"/>
            </w:pPr>
            <w:r>
              <w:t>589.09</w:t>
            </w:r>
          </w:p>
        </w:tc>
        <w:tc>
          <w:tcPr>
            <w:tcW w:w="2551" w:type="dxa"/>
            <w:vAlign w:val="center"/>
          </w:tcPr>
          <w:p>
            <w:pPr>
              <w:pStyle w:val="21"/>
            </w:pPr>
            <w:r>
              <w:t>89.29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678.38</w:t>
            </w:r>
          </w:p>
        </w:tc>
        <w:tc>
          <w:tcPr>
            <w:tcW w:w="2551" w:type="dxa"/>
            <w:vAlign w:val="center"/>
          </w:tcPr>
          <w:p>
            <w:pPr>
              <w:pStyle w:val="21"/>
            </w:pPr>
            <w:r>
              <w:t>589.09</w:t>
            </w:r>
          </w:p>
        </w:tc>
        <w:tc>
          <w:tcPr>
            <w:tcW w:w="2551" w:type="dxa"/>
            <w:vAlign w:val="center"/>
          </w:tcPr>
          <w:p>
            <w:pPr>
              <w:pStyle w:val="21"/>
            </w:pPr>
            <w:r>
              <w:t>89.29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10.24</w:t>
            </w:r>
          </w:p>
        </w:tc>
        <w:tc>
          <w:tcPr>
            <w:tcW w:w="2551" w:type="dxa"/>
            <w:vAlign w:val="center"/>
          </w:tcPr>
          <w:p>
            <w:pPr>
              <w:pStyle w:val="21"/>
            </w:pPr>
            <w:r>
              <w:t>0.44</w:t>
            </w:r>
          </w:p>
        </w:tc>
        <w:tc>
          <w:tcPr>
            <w:tcW w:w="2551" w:type="dxa"/>
            <w:vAlign w:val="center"/>
          </w:tcPr>
          <w:p>
            <w:pPr>
              <w:pStyle w:val="21"/>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668.14</w:t>
            </w:r>
          </w:p>
        </w:tc>
        <w:tc>
          <w:tcPr>
            <w:tcW w:w="2551" w:type="dxa"/>
            <w:vAlign w:val="center"/>
          </w:tcPr>
          <w:p>
            <w:pPr>
              <w:pStyle w:val="21"/>
            </w:pPr>
            <w:r>
              <w:t>588.65</w:t>
            </w:r>
          </w:p>
        </w:tc>
        <w:tc>
          <w:tcPr>
            <w:tcW w:w="2551" w:type="dxa"/>
            <w:vAlign w:val="center"/>
          </w:tcPr>
          <w:p>
            <w:pPr>
              <w:pStyle w:val="21"/>
            </w:pPr>
            <w:r>
              <w:t>79.49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589.09</w:t>
            </w:r>
          </w:p>
        </w:tc>
        <w:tc>
          <w:tcPr>
            <w:tcW w:w="2551" w:type="dxa"/>
            <w:vAlign w:val="center"/>
          </w:tcPr>
          <w:p>
            <w:pPr>
              <w:pStyle w:val="25"/>
            </w:pPr>
            <w:r>
              <w:t>580.61</w:t>
            </w:r>
          </w:p>
        </w:tc>
        <w:tc>
          <w:tcPr>
            <w:tcW w:w="2551" w:type="dxa"/>
            <w:vAlign w:val="center"/>
          </w:tcPr>
          <w:p>
            <w:pPr>
              <w:pStyle w:val="25"/>
            </w:pPr>
            <w:r>
              <w:t>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511.22</w:t>
            </w:r>
          </w:p>
        </w:tc>
        <w:tc>
          <w:tcPr>
            <w:tcW w:w="2551" w:type="dxa"/>
            <w:vAlign w:val="center"/>
          </w:tcPr>
          <w:p>
            <w:pPr>
              <w:pStyle w:val="21"/>
            </w:pPr>
            <w:r>
              <w:t>511.22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125.42</w:t>
            </w:r>
          </w:p>
        </w:tc>
        <w:tc>
          <w:tcPr>
            <w:tcW w:w="2551" w:type="dxa"/>
            <w:vAlign w:val="center"/>
          </w:tcPr>
          <w:p>
            <w:pPr>
              <w:pStyle w:val="21"/>
            </w:pPr>
            <w:r>
              <w:t>125.42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31.40</w:t>
            </w:r>
          </w:p>
        </w:tc>
        <w:tc>
          <w:tcPr>
            <w:tcW w:w="2551" w:type="dxa"/>
            <w:vAlign w:val="center"/>
          </w:tcPr>
          <w:p>
            <w:pPr>
              <w:pStyle w:val="21"/>
            </w:pPr>
            <w:r>
              <w:t>31.40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182.94</w:t>
            </w:r>
          </w:p>
        </w:tc>
        <w:tc>
          <w:tcPr>
            <w:tcW w:w="2551" w:type="dxa"/>
            <w:vAlign w:val="center"/>
          </w:tcPr>
          <w:p>
            <w:pPr>
              <w:pStyle w:val="21"/>
            </w:pPr>
            <w:r>
              <w:t>182.94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41.90</w:t>
            </w:r>
          </w:p>
        </w:tc>
        <w:tc>
          <w:tcPr>
            <w:tcW w:w="2551" w:type="dxa"/>
            <w:vAlign w:val="center"/>
          </w:tcPr>
          <w:p>
            <w:pPr>
              <w:pStyle w:val="21"/>
            </w:pPr>
            <w:r>
              <w:t>41.90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7.53</w:t>
            </w:r>
          </w:p>
        </w:tc>
        <w:tc>
          <w:tcPr>
            <w:tcW w:w="2551" w:type="dxa"/>
            <w:vAlign w:val="center"/>
          </w:tcPr>
          <w:p>
            <w:pPr>
              <w:pStyle w:val="21"/>
            </w:pPr>
            <w:r>
              <w:t>7.53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12.59</w:t>
            </w:r>
          </w:p>
        </w:tc>
        <w:tc>
          <w:tcPr>
            <w:tcW w:w="2551" w:type="dxa"/>
            <w:vAlign w:val="center"/>
          </w:tcPr>
          <w:p>
            <w:pPr>
              <w:pStyle w:val="21"/>
            </w:pPr>
            <w:r>
              <w:t>12.59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2.98</w:t>
            </w:r>
          </w:p>
        </w:tc>
        <w:tc>
          <w:tcPr>
            <w:tcW w:w="2551" w:type="dxa"/>
            <w:vAlign w:val="center"/>
          </w:tcPr>
          <w:p>
            <w:pPr>
              <w:pStyle w:val="21"/>
            </w:pPr>
            <w:r>
              <w:t>2.98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34.34</w:t>
            </w:r>
          </w:p>
        </w:tc>
        <w:tc>
          <w:tcPr>
            <w:tcW w:w="2551" w:type="dxa"/>
            <w:vAlign w:val="center"/>
          </w:tcPr>
          <w:p>
            <w:pPr>
              <w:pStyle w:val="21"/>
            </w:pPr>
            <w:r>
              <w:t>34.34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72.12</w:t>
            </w:r>
          </w:p>
        </w:tc>
        <w:tc>
          <w:tcPr>
            <w:tcW w:w="2551" w:type="dxa"/>
            <w:vAlign w:val="center"/>
          </w:tcPr>
          <w:p>
            <w:pPr>
              <w:pStyle w:val="21"/>
            </w:pPr>
            <w:r>
              <w:t>72.12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8.48</w:t>
            </w:r>
          </w:p>
        </w:tc>
        <w:tc>
          <w:tcPr>
            <w:tcW w:w="2551" w:type="dxa"/>
            <w:vAlign w:val="center"/>
          </w:tcPr>
          <w:p>
            <w:pPr>
              <w:pStyle w:val="21"/>
            </w:pPr>
          </w:p>
        </w:tc>
        <w:tc>
          <w:tcPr>
            <w:tcW w:w="2551" w:type="dxa"/>
            <w:vAlign w:val="center"/>
          </w:tcPr>
          <w:p>
            <w:pPr>
              <w:pStyle w:val="21"/>
            </w:pPr>
            <w:r>
              <w:t>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0.44</w:t>
            </w:r>
          </w:p>
        </w:tc>
        <w:tc>
          <w:tcPr>
            <w:tcW w:w="2551" w:type="dxa"/>
            <w:vAlign w:val="center"/>
          </w:tcPr>
          <w:p>
            <w:pPr>
              <w:pStyle w:val="21"/>
            </w:pPr>
          </w:p>
        </w:tc>
        <w:tc>
          <w:tcPr>
            <w:tcW w:w="2551" w:type="dxa"/>
            <w:vAlign w:val="center"/>
          </w:tcPr>
          <w:p>
            <w:pPr>
              <w:pStyle w:val="21"/>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4.77</w:t>
            </w:r>
          </w:p>
        </w:tc>
        <w:tc>
          <w:tcPr>
            <w:tcW w:w="2551" w:type="dxa"/>
            <w:vAlign w:val="center"/>
          </w:tcPr>
          <w:p>
            <w:pPr>
              <w:pStyle w:val="21"/>
            </w:pPr>
          </w:p>
        </w:tc>
        <w:tc>
          <w:tcPr>
            <w:tcW w:w="2551" w:type="dxa"/>
            <w:vAlign w:val="center"/>
          </w:tcPr>
          <w:p>
            <w:pPr>
              <w:pStyle w:val="21"/>
            </w:pPr>
            <w:r>
              <w:t>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3.27</w:t>
            </w:r>
          </w:p>
        </w:tc>
        <w:tc>
          <w:tcPr>
            <w:tcW w:w="2551" w:type="dxa"/>
            <w:vAlign w:val="center"/>
          </w:tcPr>
          <w:p>
            <w:pPr>
              <w:pStyle w:val="21"/>
            </w:pPr>
          </w:p>
        </w:tc>
        <w:tc>
          <w:tcPr>
            <w:tcW w:w="2551" w:type="dxa"/>
            <w:vAlign w:val="center"/>
          </w:tcPr>
          <w:p>
            <w:pPr>
              <w:pStyle w:val="21"/>
            </w:pPr>
            <w: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69.39</w:t>
            </w:r>
          </w:p>
        </w:tc>
        <w:tc>
          <w:tcPr>
            <w:tcW w:w="2551" w:type="dxa"/>
            <w:vAlign w:val="center"/>
          </w:tcPr>
          <w:p>
            <w:pPr>
              <w:pStyle w:val="21"/>
            </w:pPr>
            <w:r>
              <w:t>69.39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43.80</w:t>
            </w:r>
          </w:p>
        </w:tc>
        <w:tc>
          <w:tcPr>
            <w:tcW w:w="2551" w:type="dxa"/>
            <w:vAlign w:val="center"/>
          </w:tcPr>
          <w:p>
            <w:pPr>
              <w:pStyle w:val="21"/>
            </w:pPr>
            <w:r>
              <w:t>43.80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25.57</w:t>
            </w:r>
          </w:p>
        </w:tc>
        <w:tc>
          <w:tcPr>
            <w:tcW w:w="2551" w:type="dxa"/>
            <w:vAlign w:val="center"/>
          </w:tcPr>
          <w:p>
            <w:pPr>
              <w:pStyle w:val="21"/>
            </w:pPr>
            <w:r>
              <w:t>25.57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序号</w:t>
            </w:r>
          </w:p>
        </w:tc>
        <w:tc>
          <w:tcPr>
            <w:tcW w:w="3798"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9525" w:type="dxa"/>
            <w:gridSpan w:val="4"/>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一般公共预算              财政拨款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政府性基金                  预算拨款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栏次</w:t>
            </w:r>
          </w:p>
        </w:tc>
        <w:tc>
          <w:tcPr>
            <w:tcW w:w="3798"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1</w:t>
            </w: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2</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3</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4</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1</w:t>
            </w:r>
          </w:p>
        </w:tc>
        <w:tc>
          <w:tcPr>
            <w:tcW w:w="3798" w:type="dxa"/>
          </w:tcPr>
          <w:p>
            <w:r>
              <w:rPr>
                <w:rFonts w:hint="eastAsia" w:ascii="宋体" w:hAnsi="宋体" w:eastAsia="宋体" w:cs="宋体"/>
              </w:rPr>
              <w:t>合计</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2</w:t>
            </w:r>
          </w:p>
        </w:tc>
        <w:tc>
          <w:tcPr>
            <w:tcW w:w="3798" w:type="dxa"/>
          </w:tcPr>
          <w:p>
            <w:r>
              <w:rPr>
                <w:rFonts w:hint="eastAsia" w:ascii="宋体" w:hAnsi="宋体" w:eastAsia="宋体" w:cs="宋体"/>
              </w:rPr>
              <w:t>一、因公出国（境）费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3</w:t>
            </w:r>
          </w:p>
        </w:tc>
        <w:tc>
          <w:tcPr>
            <w:tcW w:w="3798" w:type="dxa"/>
          </w:tcPr>
          <w:p>
            <w:r>
              <w:t xml:space="preserve">    </w:t>
            </w:r>
            <w:r>
              <w:rPr>
                <w:rFonts w:hint="eastAsia" w:ascii="宋体" w:hAnsi="宋体" w:eastAsia="宋体" w:cs="宋体"/>
              </w:rPr>
              <w:t>其中：教学科研人员因公出国（境）费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4</w:t>
            </w:r>
          </w:p>
        </w:tc>
        <w:tc>
          <w:tcPr>
            <w:tcW w:w="3798" w:type="dxa"/>
          </w:tcPr>
          <w:p>
            <w:r>
              <w:t xml:space="preserve">          </w:t>
            </w:r>
            <w:r>
              <w:rPr>
                <w:rFonts w:hint="eastAsia" w:ascii="宋体" w:hAnsi="宋体" w:eastAsia="宋体" w:cs="宋体"/>
              </w:rPr>
              <w:t>其他因公出国（境）费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5</w:t>
            </w:r>
          </w:p>
        </w:tc>
        <w:tc>
          <w:tcPr>
            <w:tcW w:w="3798" w:type="dxa"/>
          </w:tcPr>
          <w:p>
            <w:r>
              <w:rPr>
                <w:rFonts w:hint="eastAsia" w:ascii="宋体" w:hAnsi="宋体" w:eastAsia="宋体" w:cs="宋体"/>
              </w:rPr>
              <w:t>二、公务用车购置及运维费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6</w:t>
            </w:r>
          </w:p>
        </w:tc>
        <w:tc>
          <w:tcPr>
            <w:tcW w:w="3798" w:type="dxa"/>
          </w:tcPr>
          <w:p>
            <w:r>
              <w:t xml:space="preserve">    </w:t>
            </w:r>
            <w:r>
              <w:rPr>
                <w:rFonts w:hint="eastAsia" w:ascii="宋体" w:hAnsi="宋体" w:eastAsia="宋体" w:cs="宋体"/>
              </w:rPr>
              <w:t>其中：公务用车购置费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7</w:t>
            </w:r>
          </w:p>
        </w:tc>
        <w:tc>
          <w:tcPr>
            <w:tcW w:w="3798" w:type="dxa"/>
          </w:tcPr>
          <w:p>
            <w:r>
              <w:t xml:space="preserve">          </w:t>
            </w:r>
            <w:r>
              <w:rPr>
                <w:rFonts w:hint="eastAsia" w:ascii="宋体" w:hAnsi="宋体" w:eastAsia="宋体" w:cs="宋体"/>
              </w:rPr>
              <w:t>公务用车运行维护费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8</w:t>
            </w:r>
          </w:p>
        </w:tc>
        <w:tc>
          <w:tcPr>
            <w:tcW w:w="3798" w:type="dxa"/>
          </w:tcPr>
          <w:p>
            <w:r>
              <w:rPr>
                <w:rFonts w:hint="eastAsia" w:ascii="宋体" w:hAnsi="宋体" w:eastAsia="宋体" w:cs="宋体"/>
              </w:rPr>
              <w:t>三、公务接待费</w:t>
            </w:r>
          </w:p>
        </w:tc>
        <w:tc>
          <w:tcPr>
            <w:tcW w:w="2382" w:type="dxa"/>
          </w:tcPr>
          <w:p>
            <w:r>
              <w:t>0.00</w:t>
            </w:r>
          </w:p>
        </w:tc>
        <w:tc>
          <w:tcPr>
            <w:tcW w:w="2381" w:type="dxa"/>
          </w:tcPr>
          <w:p>
            <w:r>
              <w:t>0.00</w:t>
            </w:r>
          </w:p>
        </w:tc>
        <w:tc>
          <w:tcPr>
            <w:tcW w:w="2381" w:type="dxa"/>
          </w:tcPr>
          <w:p/>
        </w:tc>
        <w:tc>
          <w:tcPr>
            <w:tcW w:w="2381" w:type="dxa"/>
          </w:tcPr>
          <w:p/>
        </w:tc>
      </w:tr>
    </w:tbl>
    <w:p>
      <w:pPr>
        <w:ind w:firstLine="420"/>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霸州市王庄子镇王圪垯村完全小学2023年单位预算信息公开情况说明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按照《预算法》、《地方预决算公开操作规程》和《关于进一步推进预算公开工作的实施意见》规定，现将霸州市王庄子镇王圪垯村完全小学2023年单位预算公开如下：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sz w:val="28"/>
        </w:rPr>
      </w:pPr>
      <w:r>
        <w:rPr>
          <w:rFonts w:hint="eastAsia" w:eastAsia="方正仿宋_GBK"/>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霸州市王庄子镇王圪垯村完全小学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spacing w:line="500" w:lineRule="exact"/>
        <w:ind w:firstLine="560"/>
        <w:jc w:val="both"/>
        <w:rPr>
          <w:rFonts w:hint="eastAsia" w:ascii="方正仿宋_GBK" w:eastAsia="方正仿宋_GBK" w:hAnsiTheme="minorHAnsi"/>
          <w:sz w:val="28"/>
          <w:lang w:val="uk-UA"/>
        </w:rPr>
      </w:pPr>
      <w:r>
        <w:rPr>
          <w:rFonts w:hint="eastAsia" w:ascii="方正仿宋_GBK" w:eastAsia="方正仿宋_GBK" w:hAnsiTheme="minorHAnsi"/>
          <w:sz w:val="28"/>
          <w:lang w:val="uk-UA"/>
        </w:rPr>
        <w:t>反映本单位当年全部收入。2023年预算收入678.38万元，其中：一般公共预算收入678.38万元，政府性基金预算收入0万元，国有资本经营预算收入0万元，财政专户管理资金收入0万元，上级补助收入0万元，事业收入0万元，经营收入0万元，附属单位上缴收入0万元，其他收入0万元，上年结转0万元。</w:t>
      </w:r>
    </w:p>
    <w:p>
      <w:pPr>
        <w:pStyle w:val="36"/>
        <w:jc w:val="both"/>
        <w:rPr>
          <w:rFonts w:ascii="方正仿宋_GBK"/>
        </w:rPr>
      </w:pPr>
      <w:r>
        <w:rPr>
          <w:rFonts w:hint="eastAsia" w:ascii="方正仿宋_GBK"/>
        </w:rPr>
        <w:t>2、支出说明</w:t>
      </w:r>
    </w:p>
    <w:p>
      <w:pPr>
        <w:pStyle w:val="36"/>
        <w:jc w:val="both"/>
        <w:rPr>
          <w:rFonts w:asciiTheme="minorHAnsi" w:hAnsiTheme="minorHAnsi"/>
          <w:lang w:val="uk-UA"/>
        </w:rPr>
      </w:pPr>
      <w:r>
        <w:rPr>
          <w:rFonts w:hint="eastAsia" w:ascii="方正仿宋_GBK"/>
        </w:rPr>
        <w:t>收支预算总表支出栏、基本支出表、项目支出表按经济分类和支出功能分类科目编制，反映霸州市王庄子</w:t>
      </w:r>
      <w:r>
        <w:rPr>
          <w:rFonts w:hint="eastAsia" w:ascii="方正仿宋_GBK"/>
          <w:lang w:eastAsia="zh-CN"/>
        </w:rPr>
        <w:t>镇</w:t>
      </w:r>
      <w:r>
        <w:rPr>
          <w:rFonts w:hint="eastAsia" w:ascii="方正仿宋_GBK"/>
        </w:rPr>
        <w:t>王</w:t>
      </w:r>
      <w:r>
        <w:rPr>
          <w:rFonts w:hint="eastAsia" w:ascii="方正仿宋_GBK"/>
          <w:lang w:eastAsia="zh-CN"/>
        </w:rPr>
        <w:t>圪垯</w:t>
      </w:r>
      <w:r>
        <w:rPr>
          <w:rFonts w:hint="eastAsia" w:ascii="方正仿宋_GBK"/>
        </w:rPr>
        <w:t>村完全小学</w:t>
      </w:r>
      <w:r>
        <w:rPr>
          <w:rFonts w:ascii="方正仿宋_GBK"/>
        </w:rPr>
        <w:t>2023</w:t>
      </w:r>
      <w:r>
        <w:rPr>
          <w:rFonts w:hint="eastAsia" w:ascii="方正仿宋_GBK"/>
        </w:rPr>
        <w:t>年度单位预算中支出预算的总体情况。</w:t>
      </w:r>
      <w:r>
        <w:rPr>
          <w:rFonts w:ascii="方正仿宋_GBK"/>
        </w:rPr>
        <w:t>2023</w:t>
      </w:r>
      <w:r>
        <w:rPr>
          <w:rFonts w:hint="eastAsia" w:ascii="方正仿宋_GBK"/>
        </w:rPr>
        <w:t>年本单位支出预算</w:t>
      </w:r>
      <w:r>
        <w:rPr>
          <w:rFonts w:ascii="方正仿宋_GBK"/>
        </w:rPr>
        <w:t>678.38</w:t>
      </w:r>
      <w:r>
        <w:rPr>
          <w:rFonts w:hint="eastAsia" w:ascii="方正仿宋_GBK"/>
        </w:rPr>
        <w:t>万元，其中：基本支出</w:t>
      </w:r>
      <w:r>
        <w:rPr>
          <w:rFonts w:ascii="方正仿宋_GBK"/>
        </w:rPr>
        <w:t>589.09</w:t>
      </w:r>
      <w:r>
        <w:rPr>
          <w:rFonts w:hint="eastAsia" w:ascii="方正仿宋_GBK"/>
        </w:rPr>
        <w:t>万元，包括：人员经费</w:t>
      </w:r>
      <w:r>
        <w:rPr>
          <w:rFonts w:ascii="方正仿宋_GBK"/>
        </w:rPr>
        <w:t>580.61</w:t>
      </w:r>
      <w:r>
        <w:rPr>
          <w:rFonts w:hint="eastAsia" w:ascii="方正仿宋_GBK"/>
        </w:rPr>
        <w:t>万元和日常公用经费</w:t>
      </w:r>
      <w:r>
        <w:rPr>
          <w:rFonts w:ascii="方正仿宋_GBK"/>
        </w:rPr>
        <w:t>8.48</w:t>
      </w:r>
      <w:r>
        <w:rPr>
          <w:rFonts w:hint="eastAsia" w:ascii="方正仿宋_GBK"/>
        </w:rPr>
        <w:t>万元；项目支出</w:t>
      </w:r>
      <w:r>
        <w:rPr>
          <w:rFonts w:ascii="方正仿宋_GBK"/>
        </w:rPr>
        <w:t>89.29</w:t>
      </w:r>
      <w:r>
        <w:rPr>
          <w:rFonts w:hint="eastAsia" w:ascii="方正仿宋_GBK"/>
        </w:rPr>
        <w:t>万元，主要为城乡义务教育补助生均经费本级配套资金、关于提前下达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rPr>
        <w:t>等。</w:t>
      </w:r>
    </w:p>
    <w:p>
      <w:pPr>
        <w:pStyle w:val="36"/>
        <w:jc w:val="both"/>
        <w:rPr>
          <w:rFonts w:ascii="方正仿宋_GBK"/>
        </w:rPr>
      </w:pPr>
      <w:r>
        <w:rPr>
          <w:rFonts w:hint="eastAsia" w:ascii="方正仿宋_GBK"/>
        </w:rPr>
        <w:t>3、比上年增减情况</w:t>
      </w:r>
    </w:p>
    <w:p>
      <w:pPr>
        <w:spacing w:line="500" w:lineRule="exact"/>
        <w:ind w:firstLine="560"/>
        <w:jc w:val="both"/>
        <w:rPr>
          <w:rFonts w:eastAsia="方正仿宋_GBK" w:asciiTheme="minorHAnsi" w:hAnsiTheme="minorHAnsi"/>
          <w:sz w:val="28"/>
          <w:lang w:val="uk-UA"/>
        </w:rPr>
      </w:pPr>
      <w:r>
        <w:rPr>
          <w:rFonts w:hint="eastAsia" w:ascii="方正仿宋_GBK" w:eastAsia="方正仿宋_GBK"/>
          <w:sz w:val="28"/>
        </w:rPr>
        <w:t>2023年预算收支安排</w:t>
      </w:r>
      <w:r>
        <w:rPr>
          <w:rFonts w:ascii="方正仿宋_GBK" w:eastAsia="方正仿宋_GBK"/>
          <w:sz w:val="28"/>
        </w:rPr>
        <w:t>678.38</w:t>
      </w:r>
      <w:r>
        <w:rPr>
          <w:rFonts w:hint="eastAsia" w:ascii="方正仿宋_GBK" w:eastAsia="方正仿宋_GBK"/>
          <w:sz w:val="28"/>
        </w:rPr>
        <w:t>万元，较2022年预算增加</w:t>
      </w:r>
      <w:r>
        <w:rPr>
          <w:rFonts w:ascii="方正仿宋_GBK" w:eastAsia="方正仿宋_GBK"/>
          <w:sz w:val="28"/>
          <w:lang w:eastAsia="zh-CN"/>
        </w:rPr>
        <w:t>26.9</w:t>
      </w:r>
      <w:r>
        <w:rPr>
          <w:rFonts w:hint="eastAsia" w:ascii="方正仿宋_GBK" w:eastAsia="方正仿宋_GBK"/>
          <w:sz w:val="28"/>
        </w:rPr>
        <w:t>万元，其中：基本支出增加</w:t>
      </w:r>
      <w:r>
        <w:rPr>
          <w:rFonts w:ascii="方正仿宋_GBK" w:eastAsia="方正仿宋_GBK"/>
          <w:sz w:val="28"/>
          <w:lang w:eastAsia="zh-CN"/>
        </w:rPr>
        <w:t>53.57</w:t>
      </w:r>
      <w:r>
        <w:rPr>
          <w:rFonts w:hint="eastAsia" w:ascii="方正仿宋_GBK" w:eastAsia="方正仿宋_GBK"/>
          <w:sz w:val="28"/>
        </w:rPr>
        <w:t>万元，主要为</w:t>
      </w:r>
      <w:r>
        <w:rPr>
          <w:rFonts w:hint="eastAsia" w:ascii="方正仿宋_GBK" w:eastAsia="方正仿宋_GBK"/>
          <w:sz w:val="28"/>
          <w:lang w:eastAsia="zh-CN"/>
        </w:rPr>
        <w:t>增加人员经费</w:t>
      </w:r>
      <w:r>
        <w:rPr>
          <w:rFonts w:hint="eastAsia" w:ascii="方正仿宋_GBK" w:eastAsia="方正仿宋_GBK"/>
          <w:sz w:val="28"/>
        </w:rPr>
        <w:t>支出；</w:t>
      </w:r>
      <w:r>
        <w:rPr>
          <w:rFonts w:hint="eastAsia" w:ascii="方正仿宋_GBK" w:eastAsia="方正仿宋_GBK"/>
          <w:sz w:val="28"/>
          <w:lang w:eastAsia="zh-CN"/>
        </w:rPr>
        <w:t>人员经费支出增加</w:t>
      </w:r>
      <w:r>
        <w:rPr>
          <w:rFonts w:ascii="方正仿宋_GBK" w:eastAsia="方正仿宋_GBK"/>
          <w:sz w:val="28"/>
          <w:lang w:eastAsia="zh-CN"/>
        </w:rPr>
        <w:t>55.44万元，</w:t>
      </w:r>
      <w:r>
        <w:rPr>
          <w:rFonts w:hint="eastAsia" w:ascii="方正仿宋_GBK" w:eastAsia="方正仿宋_GBK"/>
          <w:sz w:val="28"/>
        </w:rPr>
        <w:t>项目支出</w:t>
      </w:r>
      <w:r>
        <w:rPr>
          <w:rFonts w:hint="eastAsia" w:ascii="方正仿宋_GBK" w:eastAsia="方正仿宋_GBK"/>
          <w:sz w:val="28"/>
          <w:lang w:eastAsia="zh-CN"/>
        </w:rPr>
        <w:t>减少</w:t>
      </w:r>
      <w:r>
        <w:rPr>
          <w:rFonts w:ascii="方正仿宋_GBK" w:eastAsia="方正仿宋_GBK"/>
          <w:sz w:val="28"/>
          <w:lang w:eastAsia="zh-CN"/>
        </w:rPr>
        <w:t>26.67</w:t>
      </w:r>
      <w:r>
        <w:rPr>
          <w:rFonts w:hint="eastAsia" w:ascii="方正仿宋_GBK" w:eastAsia="方正仿宋_GBK"/>
          <w:sz w:val="28"/>
        </w:rPr>
        <w:t>万元，城乡义务教育补助生均经费本级配套资金</w:t>
      </w:r>
      <w:r>
        <w:rPr>
          <w:rFonts w:ascii="方正仿宋_GBK" w:eastAsia="方正仿宋_GBK"/>
          <w:sz w:val="28"/>
        </w:rPr>
        <w:t>2.53</w:t>
      </w:r>
      <w:r>
        <w:rPr>
          <w:rFonts w:hint="eastAsia" w:ascii="方正仿宋_GBK" w:eastAsia="方正仿宋_GBK"/>
          <w:sz w:val="28"/>
        </w:rPr>
        <w:t>万元等。</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8.04</w:t>
      </w:r>
      <w:r>
        <w:rPr>
          <w:rFonts w:hint="eastAsia" w:ascii="方正仿宋_GBK"/>
        </w:rPr>
        <w:t>万元，主要用于</w:t>
      </w:r>
      <w:r>
        <w:rPr>
          <w:rFonts w:hint="eastAsia" w:ascii="方正仿宋_GBK"/>
          <w:lang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ascii="方正仿宋_GBK" w:eastAsia="方正仿宋_GBK"/>
          <w:sz w:val="28"/>
        </w:rPr>
      </w:pPr>
      <w:r>
        <w:rPr>
          <w:rFonts w:hint="eastAsia" w:ascii="方正仿宋_GBK" w:eastAsia="方正仿宋_GBK"/>
          <w:sz w:val="28"/>
        </w:rPr>
        <w:t>2023年，我</w:t>
      </w:r>
      <w:r>
        <w:rPr>
          <w:rFonts w:hint="eastAsia" w:ascii="方正仿宋_GBK" w:eastAsia="方正仿宋_GBK"/>
          <w:sz w:val="28"/>
          <w:lang w:eastAsia="zh-CN"/>
        </w:rPr>
        <w:t>单位</w:t>
      </w:r>
      <w:r>
        <w:rPr>
          <w:rFonts w:hint="eastAsia" w:ascii="方正仿宋_GBK" w:eastAsia="方正仿宋_GBK"/>
          <w:sz w:val="28"/>
        </w:rPr>
        <w:t>财政拨款“三公”经费预算安排</w:t>
      </w:r>
      <w:r>
        <w:rPr>
          <w:rFonts w:ascii="方正仿宋_GBK" w:eastAsia="方正仿宋_GBK"/>
          <w:sz w:val="28"/>
        </w:rPr>
        <w:t>0</w:t>
      </w:r>
      <w:r>
        <w:rPr>
          <w:rFonts w:hint="eastAsia" w:ascii="方正仿宋_GBK" w:eastAsia="方正仿宋_GBK"/>
          <w:sz w:val="28"/>
        </w:rPr>
        <w:t>万元。其中，因公出国（境）费</w:t>
      </w:r>
      <w:r>
        <w:rPr>
          <w:rFonts w:ascii="方正仿宋_GBK" w:eastAsia="方正仿宋_GBK"/>
          <w:sz w:val="28"/>
        </w:rPr>
        <w:t>0</w:t>
      </w:r>
      <w:r>
        <w:rPr>
          <w:rFonts w:hint="eastAsia" w:ascii="方正仿宋_GBK" w:eastAsia="方正仿宋_GBK"/>
          <w:sz w:val="28"/>
        </w:rPr>
        <w:t>万元；公务用车购置及运维费</w:t>
      </w:r>
      <w:r>
        <w:rPr>
          <w:rFonts w:ascii="方正仿宋_GBK" w:eastAsia="方正仿宋_GBK"/>
          <w:sz w:val="28"/>
        </w:rPr>
        <w:t>0</w:t>
      </w:r>
      <w:r>
        <w:rPr>
          <w:rFonts w:hint="eastAsia" w:ascii="方正仿宋_GBK" w:eastAsia="方正仿宋_GBK"/>
          <w:sz w:val="28"/>
        </w:rPr>
        <w:t>万元（其中：公务用车购置费为</w:t>
      </w:r>
      <w:r>
        <w:rPr>
          <w:rFonts w:ascii="方正仿宋_GBK" w:eastAsia="方正仿宋_GBK"/>
          <w:sz w:val="28"/>
        </w:rPr>
        <w:t>0</w:t>
      </w:r>
      <w:r>
        <w:rPr>
          <w:rFonts w:hint="eastAsia" w:ascii="方正仿宋_GBK" w:eastAsia="方正仿宋_GBK"/>
          <w:sz w:val="28"/>
        </w:rPr>
        <w:t>万元，公务用车运维费</w:t>
      </w:r>
      <w:r>
        <w:rPr>
          <w:rFonts w:ascii="方正仿宋_GBK" w:eastAsia="方正仿宋_GBK"/>
          <w:sz w:val="28"/>
        </w:rPr>
        <w:t>0</w:t>
      </w:r>
      <w:r>
        <w:rPr>
          <w:rFonts w:hint="eastAsia" w:ascii="方正仿宋_GBK" w:eastAsia="方正仿宋_GBK"/>
          <w:sz w:val="28"/>
        </w:rPr>
        <w:t>万元)；公务接待费</w:t>
      </w:r>
      <w:r>
        <w:rPr>
          <w:rFonts w:ascii="方正仿宋_GBK" w:eastAsia="方正仿宋_GBK"/>
          <w:sz w:val="28"/>
        </w:rPr>
        <w:t>0</w:t>
      </w:r>
      <w:r>
        <w:rPr>
          <w:rFonts w:hint="eastAsia" w:ascii="方正仿宋_GBK" w:eastAsia="方正仿宋_GBK"/>
          <w:sz w:val="28"/>
        </w:rPr>
        <w:t>万元</w:t>
      </w:r>
      <w:r>
        <w:rPr>
          <w:rFonts w:hint="eastAsia" w:ascii="方正仿宋_GBK" w:eastAsia="方正仿宋_GBK"/>
          <w:sz w:val="28"/>
          <w:lang w:eastAsia="zh-CN"/>
        </w:rPr>
        <w:t>，</w:t>
      </w:r>
      <w:r>
        <w:rPr>
          <w:rFonts w:hint="eastAsia" w:ascii="方正仿宋_GBK" w:eastAsia="方正仿宋_GBK"/>
          <w:sz w:val="28"/>
        </w:rPr>
        <w:t>与2022年相比持平</w:t>
      </w:r>
      <w:r>
        <w:rPr>
          <w:rFonts w:hint="eastAsia" w:ascii="方正仿宋_GBK" w:eastAsia="方正仿宋_GBK"/>
          <w:sz w:val="28"/>
          <w:lang w:eastAsia="zh-CN"/>
        </w:rPr>
        <w:t>。</w:t>
      </w:r>
      <w:r>
        <w:rPr>
          <w:rFonts w:hint="eastAsia" w:ascii="方正仿宋_GBK" w:eastAsia="方正仿宋_GBK"/>
          <w:sz w:val="28"/>
        </w:rPr>
        <w:t>其中，公务用车购置及运维费与2022年相比持平，无增减变化；公务接待费与2022年相比持平，无增减变化</w:t>
      </w:r>
      <w:r>
        <w:rPr>
          <w:rFonts w:hint="eastAsia" w:ascii="方正仿宋_GBK" w:eastAsia="方正仿宋_GBK"/>
          <w:sz w:val="28"/>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≥884人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14.51万元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≥884人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≥884人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≤9.8万元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2023年，霸州市王庄子镇王圪垯村完全小学安排政府采购预算3.90万元。具体内容见下表。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501561霸州市王庄子镇王圪垯村完全小学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3.90</w:t>
            </w:r>
          </w:p>
        </w:tc>
        <w:tc>
          <w:tcPr>
            <w:tcW w:w="964" w:type="dxa"/>
            <w:vAlign w:val="center"/>
          </w:tcPr>
          <w:p>
            <w:pPr>
              <w:pStyle w:val="25"/>
            </w:pPr>
            <w:r>
              <w:t>3.90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霸州市王庄子镇王圪垯村完全小学小计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3.90</w:t>
            </w:r>
          </w:p>
        </w:tc>
        <w:tc>
          <w:tcPr>
            <w:tcW w:w="964" w:type="dxa"/>
            <w:vAlign w:val="center"/>
          </w:tcPr>
          <w:p>
            <w:pPr>
              <w:pStyle w:val="25"/>
            </w:pPr>
            <w:r>
              <w:t>3.90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43.00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套</w:t>
            </w:r>
          </w:p>
        </w:tc>
        <w:tc>
          <w:tcPr>
            <w:tcW w:w="850" w:type="dxa"/>
            <w:vAlign w:val="center"/>
          </w:tcPr>
          <w:p>
            <w:pPr>
              <w:pStyle w:val="21"/>
            </w:pPr>
            <w:r>
              <w:t>120</w:t>
            </w:r>
          </w:p>
        </w:tc>
        <w:tc>
          <w:tcPr>
            <w:tcW w:w="850" w:type="dxa"/>
            <w:vAlign w:val="center"/>
          </w:tcPr>
          <w:p>
            <w:pPr>
              <w:pStyle w:val="21"/>
            </w:pPr>
            <w:r>
              <w:t>0.02</w:t>
            </w:r>
          </w:p>
        </w:tc>
        <w:tc>
          <w:tcPr>
            <w:tcW w:w="964" w:type="dxa"/>
            <w:vAlign w:val="center"/>
          </w:tcPr>
          <w:p>
            <w:pPr>
              <w:pStyle w:val="21"/>
            </w:pPr>
            <w:r>
              <w:t>2.40</w:t>
            </w:r>
          </w:p>
        </w:tc>
        <w:tc>
          <w:tcPr>
            <w:tcW w:w="964" w:type="dxa"/>
            <w:vAlign w:val="center"/>
          </w:tcPr>
          <w:p>
            <w:pPr>
              <w:pStyle w:val="21"/>
            </w:pPr>
            <w:r>
              <w:t>2.40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43.00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32"/>
        </w:rPr>
        <w:t>霸州市王庄子镇王</w:t>
      </w:r>
      <w:r>
        <w:rPr>
          <w:rFonts w:eastAsia="方正仿宋_GBK"/>
          <w:color w:val="000000"/>
          <w:sz w:val="28"/>
        </w:rPr>
        <w:t>圪垯村完全小学上年末固定资产金额为295.29万元（详见下表）。本年度拟购置固定资产总额为0.00万元，已按要求列入政府采购预算，详见政府采购预算表。</w:t>
      </w:r>
    </w:p>
    <w:p>
      <w:pPr>
        <w:widowControl w:val="0"/>
        <w:spacing w:line="500" w:lineRule="exact"/>
        <w:ind w:firstLine="560"/>
        <w:jc w:val="center"/>
        <w:rPr>
          <w:rFonts w:ascii="方正小标宋_GBK" w:hAnsi="方正小标宋_GBK" w:eastAsia="方正小标宋_GBK" w:cs="方正小标宋_GBK"/>
          <w:color w:val="000000"/>
          <w:kern w:val="2"/>
          <w:sz w:val="36"/>
          <w:szCs w:val="22"/>
          <w:lang w:eastAsia="zh-CN"/>
        </w:rPr>
      </w:pPr>
    </w:p>
    <w:p>
      <w:pPr>
        <w:widowControl w:val="0"/>
        <w:spacing w:line="500" w:lineRule="exact"/>
        <w:ind w:firstLine="560"/>
        <w:jc w:val="center"/>
        <w:rPr>
          <w:rFonts w:ascii="方正小标宋_GBK" w:hAnsi="方正小标宋_GBK" w:eastAsia="方正小标宋_GBK" w:cs="方正小标宋_GBK"/>
          <w:color w:val="000000"/>
          <w:kern w:val="2"/>
          <w:sz w:val="36"/>
          <w:szCs w:val="22"/>
          <w:lang w:eastAsia="zh-CN"/>
        </w:rPr>
      </w:pPr>
    </w:p>
    <w:p>
      <w:pPr>
        <w:widowControl w:val="0"/>
        <w:spacing w:line="500" w:lineRule="exact"/>
        <w:ind w:firstLine="560"/>
        <w:jc w:val="center"/>
        <w:rPr>
          <w:rFonts w:ascii="方正小标宋_GBK" w:hAnsi="方正小标宋_GBK" w:eastAsia="方正小标宋_GBK" w:cs="方正小标宋_GBK"/>
          <w:color w:val="000000"/>
          <w:kern w:val="2"/>
          <w:sz w:val="36"/>
          <w:szCs w:val="22"/>
          <w:lang w:eastAsia="zh-CN"/>
        </w:rPr>
      </w:pPr>
    </w:p>
    <w:p>
      <w:pPr>
        <w:widowControl w:val="0"/>
        <w:spacing w:line="500" w:lineRule="exact"/>
        <w:ind w:firstLine="560"/>
        <w:jc w:val="center"/>
        <w:rPr>
          <w:rFonts w:ascii="方正小标宋_GBK" w:hAnsi="方正小标宋_GBK" w:eastAsia="方正小标宋_GBK" w:cs="方正小标宋_GBK"/>
          <w:color w:val="000000"/>
          <w:kern w:val="2"/>
          <w:sz w:val="36"/>
          <w:szCs w:val="22"/>
          <w:lang w:eastAsia="zh-CN"/>
        </w:rPr>
      </w:pPr>
    </w:p>
    <w:p>
      <w:pPr>
        <w:widowControl w:val="0"/>
        <w:spacing w:line="500" w:lineRule="exact"/>
        <w:ind w:firstLine="560"/>
        <w:jc w:val="center"/>
        <w:rPr>
          <w:rFonts w:asciiTheme="minorHAnsi" w:hAnsiTheme="minorHAnsi" w:eastAsiaTheme="minorEastAsia" w:cstheme="minorBidi"/>
          <w:color w:val="000000"/>
          <w:kern w:val="2"/>
          <w:sz w:val="28"/>
          <w:szCs w:val="22"/>
          <w:lang w:eastAsia="zh-CN"/>
        </w:rPr>
      </w:pPr>
      <w:r>
        <w:rPr>
          <w:rFonts w:ascii="方正小标宋_GBK" w:hAnsi="方正小标宋_GBK" w:eastAsia="方正小标宋_GBK" w:cs="方正小标宋_GBK"/>
          <w:color w:val="000000"/>
          <w:kern w:val="2"/>
          <w:sz w:val="36"/>
          <w:szCs w:val="22"/>
          <w:lang w:eastAsia="zh-CN"/>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tcPr>
          <w:p>
            <w:r>
              <w:t>501560</w:t>
            </w:r>
            <w:r>
              <w:rPr>
                <w:rFonts w:hint="eastAsia" w:ascii="宋体" w:hAnsi="宋体" w:eastAsia="宋体" w:cs="宋体"/>
              </w:rPr>
              <w:t>霸州市王庄子镇王</w:t>
            </w:r>
            <w:r>
              <w:rPr>
                <w:rFonts w:hint="eastAsia" w:ascii="宋体" w:hAnsi="宋体" w:eastAsia="宋体" w:cs="宋体"/>
                <w:lang w:eastAsia="zh-CN"/>
              </w:rPr>
              <w:t>圪垯</w:t>
            </w:r>
            <w:r>
              <w:rPr>
                <w:rFonts w:hint="eastAsia" w:ascii="宋体" w:hAnsi="宋体" w:eastAsia="宋体" w:cs="宋体"/>
              </w:rPr>
              <w:t>村完全小学</w:t>
            </w:r>
          </w:p>
        </w:tc>
        <w:tc>
          <w:tcPr>
            <w:tcW w:w="4710" w:type="dxa"/>
            <w:tcBorders>
              <w:top w:val="nil"/>
              <w:left w:val="nil"/>
              <w:bottom w:val="nil"/>
              <w:right w:val="nil"/>
            </w:tcBorders>
            <w:shd w:val="clear" w:color="auto" w:fill="auto"/>
            <w:noWrap/>
          </w:tcPr>
          <w:p>
            <w:pPr>
              <w:rPr>
                <w:lang w:val="uk-UA"/>
              </w:rPr>
            </w:pPr>
            <w:r>
              <w:rPr>
                <w:rFonts w:hint="eastAsia" w:ascii="宋体" w:hAnsi="宋体" w:eastAsia="宋体" w:cs="宋体"/>
              </w:rPr>
              <w:t>预算年度：</w:t>
            </w:r>
            <w:r>
              <w:t xml:space="preserve">2023            </w:t>
            </w:r>
            <w:r>
              <w:rPr>
                <w:rFonts w:ascii="宋体" w:hAnsi="宋体" w:eastAsia="宋体" w:cs="宋体"/>
                <w:lang w:eastAsia="zh-CN"/>
              </w:rPr>
              <w:t>单位：万元</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8578</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2</w:t>
            </w:r>
            <w:r>
              <w:rPr>
                <w:rFonts w:ascii="宋体" w:hAnsi="宋体" w:eastAsia="宋体" w:cs="宋体"/>
                <w:sz w:val="22"/>
                <w:szCs w:val="22"/>
                <w:lang w:eastAsia="zh-CN"/>
              </w:rPr>
              <w:t>95.29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8578</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2</w:t>
            </w:r>
            <w:r>
              <w:rPr>
                <w:rFonts w:ascii="宋体" w:hAnsi="宋体" w:eastAsia="宋体" w:cs="宋体"/>
                <w:sz w:val="22"/>
                <w:szCs w:val="22"/>
                <w:lang w:eastAsia="zh-CN"/>
              </w:rPr>
              <w:t>95.29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770009be-6c45-40a7-be6a-a231643126b5"/>
  </w:docVars>
  <w:rsids>
    <w:rsidRoot w:val="004A1168"/>
    <w:rsid w:val="00012A57"/>
    <w:rsid w:val="000B7353"/>
    <w:rsid w:val="00136014"/>
    <w:rsid w:val="001913B5"/>
    <w:rsid w:val="001F67F8"/>
    <w:rsid w:val="002546FC"/>
    <w:rsid w:val="002D41AF"/>
    <w:rsid w:val="002F010E"/>
    <w:rsid w:val="003A5231"/>
    <w:rsid w:val="003D654A"/>
    <w:rsid w:val="00400710"/>
    <w:rsid w:val="00464BFB"/>
    <w:rsid w:val="004A1168"/>
    <w:rsid w:val="005B68A7"/>
    <w:rsid w:val="005B7793"/>
    <w:rsid w:val="005B7AFC"/>
    <w:rsid w:val="006B123A"/>
    <w:rsid w:val="006D6C4D"/>
    <w:rsid w:val="006F70C6"/>
    <w:rsid w:val="00783126"/>
    <w:rsid w:val="007E0098"/>
    <w:rsid w:val="00815E0D"/>
    <w:rsid w:val="008F38B0"/>
    <w:rsid w:val="00926F52"/>
    <w:rsid w:val="00952BBE"/>
    <w:rsid w:val="00972810"/>
    <w:rsid w:val="00991EB1"/>
    <w:rsid w:val="009B55A2"/>
    <w:rsid w:val="009E7F7E"/>
    <w:rsid w:val="00A5062F"/>
    <w:rsid w:val="00A80758"/>
    <w:rsid w:val="00A902EF"/>
    <w:rsid w:val="00A9064A"/>
    <w:rsid w:val="00A915A7"/>
    <w:rsid w:val="00AA1FB3"/>
    <w:rsid w:val="00AD578B"/>
    <w:rsid w:val="00B6757F"/>
    <w:rsid w:val="00BB35A7"/>
    <w:rsid w:val="00C57197"/>
    <w:rsid w:val="00C672B5"/>
    <w:rsid w:val="00CC7E62"/>
    <w:rsid w:val="00D513F4"/>
    <w:rsid w:val="00D525FE"/>
    <w:rsid w:val="00D60C3E"/>
    <w:rsid w:val="00D620E5"/>
    <w:rsid w:val="00D64AD2"/>
    <w:rsid w:val="00D93167"/>
    <w:rsid w:val="00D9444E"/>
    <w:rsid w:val="00DC645C"/>
    <w:rsid w:val="00E20116"/>
    <w:rsid w:val="00E3061C"/>
    <w:rsid w:val="00EF51BF"/>
    <w:rsid w:val="00F2669E"/>
    <w:rsid w:val="00FC209C"/>
    <w:rsid w:val="08912945"/>
    <w:rsid w:val="1132488E"/>
    <w:rsid w:val="19442C7F"/>
    <w:rsid w:val="27D41858"/>
    <w:rsid w:val="3F417555"/>
    <w:rsid w:val="70F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C8CC-2736-4105-9BA8-19D9775FB88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6361</Words>
  <Characters>7419</Characters>
  <Lines>72</Lines>
  <Paragraphs>20</Paragraphs>
  <TotalTime>77</TotalTime>
  <ScaleCrop>false</ScaleCrop>
  <LinksUpToDate>false</LinksUpToDate>
  <CharactersWithSpaces>7725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2023-02-28T10:07:36Z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277C7B56E0054588ADD823E88CC0FCA3</vt:lpwstr>
  </property>
</Properties>
</file>